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176F2" w14:textId="77777777" w:rsidR="00C76DD3" w:rsidRDefault="00C76DD3" w:rsidP="00C76DD3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0A2D0C51" w14:textId="77777777" w:rsidR="00C76DD3" w:rsidRDefault="00C76DD3" w:rsidP="00C76DD3">
      <w:pPr>
        <w:jc w:val="center"/>
      </w:pPr>
    </w:p>
    <w:p w14:paraId="7D3E3033" w14:textId="1795D8CD" w:rsidR="00C76DD3" w:rsidRDefault="00C76DD3" w:rsidP="00C76DD3">
      <w:pPr>
        <w:jc w:val="center"/>
      </w:pPr>
      <w:r>
        <w:t>На поставку трехфазных малогабаритных  интеллектуальных приборов учета электроэнергии на 2024-2025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</w:t>
      </w:r>
    </w:p>
    <w:p w14:paraId="55CC1E3F" w14:textId="77777777" w:rsidR="00C76DD3" w:rsidRDefault="00C76DD3" w:rsidP="00C76DD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12B12B56" w14:textId="77777777" w:rsidR="00C76DD3" w:rsidRDefault="00C76DD3" w:rsidP="00C76DD3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1D82A8E" w14:textId="77777777" w:rsidR="00C76DD3" w:rsidRDefault="00C76DD3" w:rsidP="00C76DD3">
      <w:pPr>
        <w:widowControl/>
        <w:numPr>
          <w:ilvl w:val="0"/>
          <w:numId w:val="28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Общие требования</w:t>
      </w:r>
    </w:p>
    <w:p w14:paraId="4CE558C9" w14:textId="60479D72" w:rsidR="00C76DD3" w:rsidRDefault="00C76DD3" w:rsidP="00C76DD3">
      <w:pPr>
        <w:widowControl/>
        <w:autoSpaceDE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Осуществление поставки </w:t>
      </w:r>
      <w:r>
        <w:rPr>
          <w:rFonts w:ascii="Tahoma" w:hAnsi="Tahoma" w:cs="Tahoma"/>
        </w:rPr>
        <w:t>трехфазных</w:t>
      </w:r>
      <w:r>
        <w:t xml:space="preserve"> малогабаритных </w:t>
      </w:r>
      <w:r>
        <w:rPr>
          <w:rFonts w:ascii="Tahoma" w:hAnsi="Tahoma" w:cs="Tahoma"/>
          <w:lang w:eastAsia="en-US"/>
        </w:rPr>
        <w:t xml:space="preserve">интеллектуальных приборов учета электроэнергии </w:t>
      </w:r>
      <w:r w:rsidR="00690A07" w:rsidRPr="005F4B9D">
        <w:rPr>
          <w:rFonts w:ascii="Tahoma" w:hAnsi="Tahoma" w:cs="Tahoma"/>
          <w:lang w:eastAsia="en-US"/>
        </w:rPr>
        <w:t>(далее - ПУ ЭЭ,</w:t>
      </w:r>
      <w:r w:rsidR="00690A07">
        <w:rPr>
          <w:rFonts w:ascii="Tahoma" w:hAnsi="Tahoma" w:cs="Tahoma"/>
          <w:lang w:eastAsia="en-US"/>
        </w:rPr>
        <w:t xml:space="preserve"> ПУ,</w:t>
      </w:r>
      <w:r w:rsidR="00690A07" w:rsidRPr="005F4B9D">
        <w:rPr>
          <w:rFonts w:ascii="Tahoma" w:hAnsi="Tahoma" w:cs="Tahoma"/>
          <w:lang w:eastAsia="en-US"/>
        </w:rPr>
        <w:t xml:space="preserve"> счетчик)</w:t>
      </w:r>
      <w:r>
        <w:rPr>
          <w:rFonts w:ascii="Tahoma" w:hAnsi="Tahoma" w:cs="Tahoma"/>
          <w:lang w:eastAsia="en-US"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 w:rsidR="00690A07">
        <w:rPr>
          <w:i/>
        </w:rPr>
        <w:br/>
      </w:r>
      <w:r>
        <w:t xml:space="preserve">АО «ЭнергосбыТ Плюс» и </w:t>
      </w:r>
      <w:r>
        <w:rPr>
          <w:rFonts w:ascii="Tahoma" w:hAnsi="Tahoma" w:cs="Tahoma"/>
          <w:lang w:eastAsia="en-US"/>
        </w:rPr>
        <w:t xml:space="preserve">для нужд </w:t>
      </w:r>
      <w:r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</w:p>
    <w:p w14:paraId="158BF0A3" w14:textId="77777777" w:rsidR="00C76DD3" w:rsidRDefault="00C76DD3" w:rsidP="00C76DD3">
      <w:pPr>
        <w:widowControl/>
        <w:numPr>
          <w:ilvl w:val="0"/>
          <w:numId w:val="28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349B59FC" w14:textId="77777777" w:rsidR="00C76DD3" w:rsidRDefault="00C76DD3" w:rsidP="00C76DD3">
      <w:pPr>
        <w:widowControl/>
        <w:tabs>
          <w:tab w:val="left" w:pos="-284"/>
          <w:tab w:val="left" w:pos="-158"/>
        </w:tabs>
        <w:autoSpaceDE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Начало поставки: с даты подписания Договора; </w:t>
      </w:r>
    </w:p>
    <w:p w14:paraId="46D7D7F0" w14:textId="77777777" w:rsidR="00C76DD3" w:rsidRDefault="00C76DD3" w:rsidP="00C76DD3">
      <w:pPr>
        <w:widowControl/>
        <w:tabs>
          <w:tab w:val="left" w:pos="-284"/>
          <w:tab w:val="left" w:pos="-158"/>
        </w:tabs>
        <w:autoSpaceDE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Окончание поставки: 31.03.2025 г.</w:t>
      </w:r>
    </w:p>
    <w:p w14:paraId="6183DF49" w14:textId="77777777" w:rsidR="00C76DD3" w:rsidRDefault="00C76DD3" w:rsidP="00C76DD3">
      <w:pPr>
        <w:widowControl/>
        <w:tabs>
          <w:tab w:val="left" w:pos="-284"/>
          <w:tab w:val="left" w:pos="-158"/>
        </w:tabs>
        <w:autoSpaceDE/>
        <w:adjustRightInd/>
        <w:jc w:val="both"/>
        <w:rPr>
          <w:rFonts w:ascii="Tahoma" w:hAnsi="Tahoma" w:cs="Tahoma"/>
          <w:snapToGrid w:val="0"/>
          <w:kern w:val="24"/>
        </w:rPr>
      </w:pPr>
      <w:r>
        <w:rPr>
          <w:rFonts w:ascii="Tahoma" w:hAnsi="Tahoma" w:cs="Tahoma"/>
        </w:rPr>
        <w:t>Поставка Продукции осуществляется партиями на основании Заявок Покупателя в течение 21 (двадцати одного) календарного дня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>
        <w:rPr>
          <w:rFonts w:ascii="Tahoma" w:hAnsi="Tahoma" w:cs="Tahoma"/>
          <w:snapToGrid w:val="0"/>
          <w:kern w:val="24"/>
        </w:rPr>
        <w:t>.</w:t>
      </w:r>
    </w:p>
    <w:p w14:paraId="1B19F034" w14:textId="77777777" w:rsidR="00C76DD3" w:rsidRDefault="00C76DD3" w:rsidP="00C76DD3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4D20B7F5" w14:textId="77777777" w:rsidR="00C76DD3" w:rsidRDefault="00C76DD3" w:rsidP="00C76DD3">
      <w:pPr>
        <w:widowControl/>
        <w:numPr>
          <w:ilvl w:val="0"/>
          <w:numId w:val="28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7B3E0D43" w14:textId="77777777" w:rsidR="00C76DD3" w:rsidRDefault="00C76DD3" w:rsidP="00C76DD3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color w:val="000000"/>
          <w:spacing w:val="-4"/>
        </w:rPr>
        <w:t>Номенклатура закупаемой продукции, идентичная для нужд АО «ЭнергосбыТ Плюс» и АО «Коми энергосбытовая компания»</w:t>
      </w:r>
    </w:p>
    <w:p w14:paraId="168FCCB0" w14:textId="77777777" w:rsidR="00C76DD3" w:rsidRDefault="00C76DD3" w:rsidP="00C76DD3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C76DD3" w14:paraId="0EE4CAA5" w14:textId="77777777" w:rsidTr="00C76DD3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AC2D78" w14:textId="77777777" w:rsidR="00C76DD3" w:rsidRDefault="00C76DD3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9590A8A" w14:textId="77777777" w:rsidR="00C76DD3" w:rsidRDefault="00C76DD3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F647F1" w14:textId="77777777" w:rsidR="00C76DD3" w:rsidRDefault="00C76DD3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E32D366" w14:textId="77777777" w:rsidR="00C76DD3" w:rsidRDefault="00C76DD3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C76DD3" w14:paraId="4C5A10F7" w14:textId="77777777" w:rsidTr="00C76DD3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3EE691" w14:textId="77777777" w:rsidR="00C76DD3" w:rsidRDefault="00C76DD3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A204594" w14:textId="77777777" w:rsidR="00C76DD3" w:rsidRDefault="00C76DD3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31A372D" w14:textId="77777777" w:rsidR="00C76DD3" w:rsidRDefault="00C76DD3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FC38F37" w14:textId="77777777" w:rsidR="00C76DD3" w:rsidRDefault="00C76DD3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C76DD3" w14:paraId="0A279FD3" w14:textId="77777777" w:rsidTr="00C76DD3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649A15B" w14:textId="77777777" w:rsidR="00C76DD3" w:rsidRPr="00C76DD3" w:rsidRDefault="00C76DD3" w:rsidP="00C76DD3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6DD3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C000CB" w14:textId="574FD692" w:rsidR="00C76DD3" w:rsidRPr="00C76DD3" w:rsidRDefault="00C76DD3" w:rsidP="00C76DD3">
            <w:pPr>
              <w:shd w:val="clear" w:color="auto" w:fill="FFFFFF"/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6DD3">
              <w:rPr>
                <w:rFonts w:ascii="Tahoma" w:hAnsi="Tahoma" w:cs="Tahoma"/>
                <w:sz w:val="16"/>
                <w:szCs w:val="16"/>
              </w:rPr>
              <w:t>Счетчик электроэнергии трехфазный прямого включения мал</w:t>
            </w:r>
            <w:r>
              <w:rPr>
                <w:rFonts w:ascii="Tahoma" w:hAnsi="Tahoma" w:cs="Tahoma"/>
                <w:sz w:val="16"/>
                <w:szCs w:val="16"/>
              </w:rPr>
              <w:t>о</w:t>
            </w:r>
            <w:r w:rsidRPr="00C76DD3">
              <w:rPr>
                <w:rFonts w:ascii="Tahoma" w:hAnsi="Tahoma" w:cs="Tahoma"/>
                <w:sz w:val="16"/>
                <w:szCs w:val="16"/>
              </w:rPr>
              <w:t>габаритный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EB3253" w14:textId="77777777" w:rsidR="00C76DD3" w:rsidRPr="00C76DD3" w:rsidRDefault="00C76DD3" w:rsidP="00C76DD3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6DD3">
              <w:rPr>
                <w:rFonts w:ascii="Tahoma" w:hAnsi="Tahoma" w:cs="Tahoma"/>
                <w:sz w:val="16"/>
                <w:szCs w:val="16"/>
                <w:lang w:eastAsia="en-US"/>
              </w:rPr>
              <w:t>Максимальный ток не менее 100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2F69E67" w14:textId="77777777" w:rsidR="00C76DD3" w:rsidRPr="00C76DD3" w:rsidRDefault="00C76DD3" w:rsidP="00C76DD3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6DD3">
              <w:rPr>
                <w:rFonts w:ascii="Tahoma" w:hAnsi="Tahoma" w:cs="Tahoma"/>
                <w:sz w:val="16"/>
                <w:szCs w:val="16"/>
                <w:lang w:eastAsia="en-US"/>
              </w:rPr>
              <w:t>шт.</w:t>
            </w:r>
          </w:p>
        </w:tc>
      </w:tr>
      <w:tr w:rsidR="00C76DD3" w14:paraId="07659633" w14:textId="77777777" w:rsidTr="00C76DD3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D2B234A" w14:textId="77777777" w:rsidR="00C76DD3" w:rsidRPr="00C76DD3" w:rsidRDefault="00C76DD3" w:rsidP="00C76DD3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  <w:r w:rsidRPr="00C76DD3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F5AC37" w14:textId="030361EC" w:rsidR="00C76DD3" w:rsidRPr="00C76DD3" w:rsidRDefault="00C76DD3" w:rsidP="00C76DD3">
            <w:pPr>
              <w:shd w:val="clear" w:color="auto" w:fill="FFFFFF"/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6DD3">
              <w:rPr>
                <w:rFonts w:ascii="Tahoma" w:hAnsi="Tahoma" w:cs="Tahoma"/>
                <w:sz w:val="16"/>
                <w:szCs w:val="16"/>
              </w:rPr>
              <w:t>Счетчик электроэнергии трехфазный полукосвенного включения малогабаритный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DCAE1E" w14:textId="77777777" w:rsidR="00C76DD3" w:rsidRPr="00C76DD3" w:rsidRDefault="00C76DD3" w:rsidP="00C76DD3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6DD3">
              <w:rPr>
                <w:rFonts w:ascii="Tahoma" w:hAnsi="Tahoma" w:cs="Tahoma"/>
                <w:sz w:val="16"/>
                <w:szCs w:val="16"/>
                <w:lang w:eastAsia="en-US"/>
              </w:rPr>
              <w:t>Базовый (Максимальный) ток 5 (10)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610A3B8" w14:textId="77777777" w:rsidR="00C76DD3" w:rsidRPr="00C76DD3" w:rsidRDefault="00C76DD3" w:rsidP="00C76DD3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6DD3">
              <w:rPr>
                <w:rFonts w:ascii="Tahoma" w:hAnsi="Tahoma" w:cs="Tahoma"/>
                <w:sz w:val="16"/>
                <w:szCs w:val="16"/>
                <w:lang w:eastAsia="en-US"/>
              </w:rPr>
              <w:t>шт.</w:t>
            </w:r>
          </w:p>
        </w:tc>
      </w:tr>
    </w:tbl>
    <w:p w14:paraId="5F3FD986" w14:textId="77777777" w:rsidR="00C76DD3" w:rsidRDefault="00C76DD3" w:rsidP="00C76DD3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2F88CFF5" w14:textId="77777777" w:rsidR="00C76DD3" w:rsidRDefault="00C76DD3" w:rsidP="00C76DD3">
      <w:pPr>
        <w:pStyle w:val="a9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2E9EC186" w14:textId="77777777" w:rsidR="00C76DD3" w:rsidRDefault="00C76DD3" w:rsidP="00C76DD3">
      <w:pPr>
        <w:widowControl/>
        <w:autoSpaceDE/>
        <w:adjustRightInd/>
        <w:jc w:val="both"/>
        <w:rPr>
          <w:rFonts w:ascii="Tahoma" w:hAnsi="Tahoma" w:cs="Tahoma"/>
        </w:rPr>
      </w:pPr>
    </w:p>
    <w:p w14:paraId="1B72EB27" w14:textId="77777777" w:rsidR="00C76DD3" w:rsidRDefault="00C76DD3" w:rsidP="00C76DD3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22B3F6DC" w14:textId="77777777" w:rsidR="00C76DD3" w:rsidRDefault="00C76DD3" w:rsidP="00C76DD3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6D121888" w14:textId="77777777" w:rsidR="00C76DD3" w:rsidRDefault="00C76DD3" w:rsidP="00C76DD3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6A44059A" w14:textId="77777777" w:rsidR="00C76DD3" w:rsidRDefault="00C76DD3" w:rsidP="00C76DD3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E97C9E0" w14:textId="77777777" w:rsidR="00C76DD3" w:rsidRDefault="00C76DD3" w:rsidP="00C76DD3">
      <w:pPr>
        <w:ind w:firstLine="708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3028638D" w14:textId="77777777" w:rsidR="00C76DD3" w:rsidRDefault="00C76DD3" w:rsidP="00C76DD3">
      <w:pPr>
        <w:ind w:firstLine="708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п.8 настоящего Технического задания и Приложении №1</w:t>
      </w:r>
      <w:r>
        <w:rPr>
          <w:rFonts w:ascii="Tahoma" w:hAnsi="Tahoma" w:cs="Tahoma"/>
          <w:lang w:eastAsia="en-US"/>
        </w:rPr>
        <w:br/>
        <w:t xml:space="preserve">к настоящему Техническому заданию. </w:t>
      </w:r>
    </w:p>
    <w:p w14:paraId="187FF583" w14:textId="2CE775F5" w:rsidR="00C76DD3" w:rsidRDefault="00C76DD3" w:rsidP="00C76DD3">
      <w:pPr>
        <w:ind w:firstLine="708"/>
        <w:jc w:val="both"/>
        <w:rPr>
          <w:rFonts w:ascii="Tahoma" w:hAnsi="Tahoma" w:cs="Tahoma"/>
          <w:lang w:eastAsia="en-US"/>
        </w:rPr>
      </w:pPr>
    </w:p>
    <w:p w14:paraId="46A50674" w14:textId="77777777" w:rsidR="00C76DD3" w:rsidRDefault="00C76DD3" w:rsidP="00C76DD3">
      <w:pPr>
        <w:ind w:firstLine="708"/>
        <w:jc w:val="both"/>
        <w:rPr>
          <w:rFonts w:ascii="Tahoma" w:hAnsi="Tahoma" w:cs="Tahoma"/>
          <w:lang w:eastAsia="en-US"/>
        </w:rPr>
      </w:pPr>
    </w:p>
    <w:p w14:paraId="7FFA5B88" w14:textId="77777777" w:rsidR="00C76DD3" w:rsidRDefault="00C76DD3" w:rsidP="00C76DD3">
      <w:pPr>
        <w:pStyle w:val="a6"/>
        <w:numPr>
          <w:ilvl w:val="0"/>
          <w:numId w:val="28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lastRenderedPageBreak/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42967268" w14:textId="77777777" w:rsidR="00C76DD3" w:rsidRDefault="00C76DD3" w:rsidP="00C76DD3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20AFDF51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1616F09C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09193D68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2855831E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7393E28C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>
        <w:rPr>
          <w:rFonts w:ascii="Tahoma" w:hAnsi="Tahoma" w:cs="Tahoma"/>
        </w:rPr>
        <w:tab/>
        <w:t>товарную накладную/УПД;</w:t>
      </w:r>
    </w:p>
    <w:p w14:paraId="0B670E19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0B9484AA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5BB22E58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>
        <w:rPr>
          <w:rFonts w:ascii="Tahoma" w:hAnsi="Tahoma" w:cs="Tahoma"/>
          <w:lang w:val="en-US"/>
        </w:rPr>
        <w:t>IMEI</w:t>
      </w:r>
      <w:r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5DA8D5D6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312053DA" w14:textId="77777777" w:rsidR="00C76DD3" w:rsidRDefault="00C76DD3" w:rsidP="00C76DD3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403D9542" w14:textId="77777777" w:rsidR="00C76DD3" w:rsidRDefault="00C76DD3" w:rsidP="00C76DD3">
      <w:pPr>
        <w:pStyle w:val="a9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1593CE42" w14:textId="77777777" w:rsidR="00C76DD3" w:rsidRDefault="00C76DD3" w:rsidP="00C76DD3">
      <w:pPr>
        <w:pStyle w:val="a9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625C862D" w14:textId="77777777" w:rsidR="00C76DD3" w:rsidRDefault="00C76DD3" w:rsidP="00C76DD3">
      <w:pPr>
        <w:pStyle w:val="a9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12946223" w14:textId="77777777" w:rsidR="00C76DD3" w:rsidRDefault="00C76DD3" w:rsidP="00C76DD3">
      <w:pPr>
        <w:pStyle w:val="a9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6185A0DE" w14:textId="77777777" w:rsidR="00C76DD3" w:rsidRDefault="00C76DD3" w:rsidP="00C76DD3">
      <w:pPr>
        <w:pStyle w:val="a9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5E7961C7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</w:p>
    <w:p w14:paraId="71A8F62B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79F8B884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55CBAB8B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153000, Ивановская область, г. Иваново, ул. Смирнова, д. 11;</w:t>
      </w:r>
    </w:p>
    <w:p w14:paraId="0180DCA0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610046, Кировская область, г. Киров, ул. Преображенская д.90</w:t>
      </w:r>
    </w:p>
    <w:p w14:paraId="479C9388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460024, Оренбургская область, г. Оренбург, ул. Набережная, д. 25В;</w:t>
      </w:r>
    </w:p>
    <w:p w14:paraId="5CD4A518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64CE631B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426063, Удмуртская республика, г. Ижевск, ул. Орджоникидзе, д. 52а</w:t>
      </w:r>
    </w:p>
    <w:p w14:paraId="5CBCF765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586BCFCE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622001, Свердловская область, г. Нижний Тагил, ул. Красноармейская, д. 60</w:t>
      </w:r>
    </w:p>
    <w:p w14:paraId="3B10042D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</w:p>
    <w:p w14:paraId="707D133A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095792F5" w14:textId="77777777" w:rsidR="00C76DD3" w:rsidRDefault="00C76DD3" w:rsidP="00C76DD3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7FAD7048" w14:textId="77777777" w:rsidR="00C76DD3" w:rsidRDefault="00C76DD3" w:rsidP="00C76DD3">
      <w:pPr>
        <w:pStyle w:val="a"/>
        <w:numPr>
          <w:ilvl w:val="0"/>
          <w:numId w:val="0"/>
        </w:numPr>
        <w:tabs>
          <w:tab w:val="left" w:pos="284"/>
        </w:tabs>
        <w:spacing w:line="240" w:lineRule="auto"/>
        <w:rPr>
          <w:rFonts w:ascii="Tahoma" w:hAnsi="Tahoma" w:cs="Tahoma"/>
          <w:sz w:val="20"/>
        </w:rPr>
      </w:pPr>
    </w:p>
    <w:p w14:paraId="3BB96B99" w14:textId="77777777" w:rsidR="00C76DD3" w:rsidRDefault="00C76DD3" w:rsidP="00C76DD3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color w:val="000000"/>
          <w:sz w:val="20"/>
        </w:rPr>
      </w:pPr>
    </w:p>
    <w:p w14:paraId="5361A6B8" w14:textId="065B15DA" w:rsidR="00C76DD3" w:rsidRDefault="00C76DD3" w:rsidP="00C76DD3">
      <w:pPr>
        <w:pStyle w:val="a6"/>
        <w:widowControl/>
        <w:numPr>
          <w:ilvl w:val="0"/>
          <w:numId w:val="28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</w:rPr>
        <w:t xml:space="preserve">Требования к </w:t>
      </w:r>
      <w:r w:rsidR="00690A07" w:rsidRPr="00C86FC4">
        <w:rPr>
          <w:rFonts w:ascii="Tahoma" w:hAnsi="Tahoma" w:cs="Tahoma"/>
          <w:b/>
          <w:bCs/>
        </w:rPr>
        <w:t>обязательным</w:t>
      </w:r>
      <w:r w:rsidR="00690A07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техническим характеристикам поставляемого оборудования (приборы учета электрической энергии)</w:t>
      </w:r>
    </w:p>
    <w:p w14:paraId="6445CE63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650B9B3B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094F1C86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3B05FE59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6FFB629D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 формата VQFN-8, стандарт ETSI TS 102 671 (при условии предоставления SIM-чипа со стороны Покупателя). </w:t>
      </w:r>
    </w:p>
    <w:p w14:paraId="1A03096A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уровень сигнала связи оператора.</w:t>
      </w:r>
    </w:p>
    <w:p w14:paraId="018CDC09" w14:textId="77777777" w:rsidR="00C76DD3" w:rsidRDefault="00C76DD3" w:rsidP="00C76DD3">
      <w:pPr>
        <w:widowControl/>
        <w:numPr>
          <w:ilvl w:val="0"/>
          <w:numId w:val="29"/>
        </w:numPr>
        <w:autoSpaceDE/>
        <w:adjustRightInd/>
        <w:spacing w:line="256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13E20569" w14:textId="77777777" w:rsidR="00C76DD3" w:rsidRDefault="00C76DD3" w:rsidP="00C76DD3">
      <w:pPr>
        <w:widowControl/>
        <w:numPr>
          <w:ilvl w:val="0"/>
          <w:numId w:val="29"/>
        </w:numPr>
        <w:autoSpaceDE/>
        <w:adjustRightInd/>
        <w:spacing w:line="256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60F65334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 (но не менее 3).</w:t>
      </w:r>
    </w:p>
    <w:p w14:paraId="6C737DB5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17AE8F46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0F5CCA6D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комплексом «Пирамида 2.0» (разработчик и правообладатель ООО «АСТЭК», ИНН 3328439073)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75CE76D6" w14:textId="77777777" w:rsidR="00C76DD3" w:rsidRDefault="00C76DD3" w:rsidP="00C76DD3">
      <w:pPr>
        <w:pStyle w:val="a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Полный и актуальный перечень поддерживаемого оборудования (производители, модели, модули) размещен на сайте разработчика программного комплекса: http://www.sicon.ru/prod/aiis/devices/</w:t>
      </w:r>
    </w:p>
    <w:p w14:paraId="0CB1D546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2024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11553AAE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0DB8DD09" w14:textId="77777777" w:rsidR="00C76DD3" w:rsidRDefault="00C76DD3" w:rsidP="00C76DD3">
      <w:pPr>
        <w:pStyle w:val="a6"/>
        <w:numPr>
          <w:ilvl w:val="0"/>
          <w:numId w:val="29"/>
        </w:num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0804621D" w14:textId="02018D1D" w:rsidR="00C76DD3" w:rsidRDefault="00C76DD3" w:rsidP="009C0C6B">
      <w:pPr>
        <w:pStyle w:val="a6"/>
        <w:jc w:val="both"/>
        <w:rPr>
          <w:rFonts w:ascii="Tahoma" w:hAnsi="Tahoma" w:cs="Tahoma"/>
          <w:szCs w:val="22"/>
          <w:lang w:eastAsia="en-US"/>
        </w:rPr>
      </w:pPr>
      <w:r>
        <w:rPr>
          <w:rFonts w:ascii="Tahoma" w:hAnsi="Tahoma" w:cs="Tahoma"/>
        </w:rPr>
        <w:t xml:space="preserve">Филиалы АО «ЭнергосбыТ Плюс» - </w:t>
      </w:r>
      <w:r>
        <w:rPr>
          <w:noProof/>
        </w:rPr>
        <w:drawing>
          <wp:inline distT="0" distB="0" distL="0" distR="0" wp14:anchorId="531D6F2D" wp14:editId="59ED5C7A">
            <wp:extent cx="425450" cy="425450"/>
            <wp:effectExtent l="0" t="0" r="0" b="0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>
        <w:rPr>
          <w:rFonts w:ascii="Tahoma" w:hAnsi="Tahoma" w:cs="Tahoma"/>
          <w:szCs w:val="22"/>
          <w:lang w:eastAsia="en-US"/>
        </w:rPr>
        <w:t xml:space="preserve">АО «КЭСК» -  </w:t>
      </w:r>
      <w:r>
        <w:rPr>
          <w:noProof/>
          <w:szCs w:val="22"/>
        </w:rPr>
        <w:drawing>
          <wp:inline distT="0" distB="0" distL="0" distR="0" wp14:anchorId="2B3F002B" wp14:editId="62F4A10C">
            <wp:extent cx="510540" cy="414655"/>
            <wp:effectExtent l="0" t="0" r="3810" b="4445"/>
            <wp:docPr id="2" name="Рисунок 2" descr="logo-ko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kom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>
        <w:rPr>
          <w:rFonts w:ascii="Tahoma" w:hAnsi="Tahoma" w:cs="Tahoma"/>
          <w:noProof/>
          <w:szCs w:val="22"/>
        </w:rPr>
        <w:t xml:space="preserve"> </w:t>
      </w:r>
    </w:p>
    <w:p w14:paraId="2B349CB9" w14:textId="77777777" w:rsidR="00C76DD3" w:rsidRDefault="00C76DD3" w:rsidP="00C76DD3">
      <w:pPr>
        <w:pStyle w:val="a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1C6D22CD" w14:textId="77777777" w:rsidR="00C76DD3" w:rsidRDefault="00C76DD3" w:rsidP="00C76DD3">
      <w:pPr>
        <w:pStyle w:val="a6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21DCD1CA" w14:textId="77777777" w:rsidR="00C76DD3" w:rsidRDefault="00C76DD3" w:rsidP="00C76DD3">
      <w:pPr>
        <w:pStyle w:val="a6"/>
        <w:rPr>
          <w:rFonts w:ascii="Tahoma" w:hAnsi="Tahoma" w:cs="Tahoma"/>
        </w:rPr>
      </w:pPr>
      <w:r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логотипами и указаниями их размеров.</w:t>
      </w:r>
    </w:p>
    <w:p w14:paraId="2F68F884" w14:textId="77777777" w:rsidR="00C76DD3" w:rsidRDefault="00C76DD3" w:rsidP="00C76DD3">
      <w:pPr>
        <w:widowControl/>
        <w:numPr>
          <w:ilvl w:val="0"/>
          <w:numId w:val="29"/>
        </w:numPr>
        <w:autoSpaceDE/>
        <w:adjustRightInd/>
        <w:spacing w:afterLines="160" w:after="384" w:line="256" w:lineRule="auto"/>
        <w:contextualSpacing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lastRenderedPageBreak/>
        <w:t>Встроенное программное обеспечение приборов учета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</w:p>
    <w:p w14:paraId="6912BA64" w14:textId="77777777" w:rsidR="00C76DD3" w:rsidRDefault="00C76DD3" w:rsidP="00C76DD3">
      <w:pPr>
        <w:widowControl/>
        <w:numPr>
          <w:ilvl w:val="0"/>
          <w:numId w:val="29"/>
        </w:numPr>
        <w:autoSpaceDE/>
        <w:adjustRightInd/>
        <w:spacing w:afterLines="160" w:after="384" w:line="256" w:lineRule="auto"/>
        <w:contextualSpacing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Замена батареи питания ПУ должна производиться без применения пайки. Срок службы батареи должен составлять не менее межповерочного интервала.</w:t>
      </w:r>
    </w:p>
    <w:p w14:paraId="67C83CCF" w14:textId="77777777" w:rsidR="00C76DD3" w:rsidRDefault="00C76DD3" w:rsidP="00C76DD3">
      <w:pPr>
        <w:pStyle w:val="a6"/>
        <w:widowControl/>
        <w:numPr>
          <w:ilvl w:val="0"/>
          <w:numId w:val="28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07D1C0C5" w14:textId="063D28BA" w:rsidR="00C76DD3" w:rsidRDefault="00C76DD3" w:rsidP="00C76DD3">
      <w:pPr>
        <w:pStyle w:val="a6"/>
        <w:widowControl/>
        <w:numPr>
          <w:ilvl w:val="0"/>
          <w:numId w:val="30"/>
        </w:numPr>
        <w:autoSpaceDE/>
        <w:adjustRightInd/>
        <w:spacing w:after="160" w:line="256" w:lineRule="auto"/>
        <w:ind w:left="709"/>
        <w:jc w:val="both"/>
        <w:rPr>
          <w:rFonts w:ascii="Tahoma" w:eastAsia="Times New Roman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1B4472" wp14:editId="3C128E4D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891155" cy="2092960"/>
            <wp:effectExtent l="0" t="0" r="4445" b="2540"/>
            <wp:wrapThrough wrapText="bothSides">
              <wp:wrapPolygon edited="0">
                <wp:start x="0" y="0"/>
                <wp:lineTo x="0" y="21430"/>
                <wp:lineTo x="21491" y="21430"/>
                <wp:lineTo x="21491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209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eastAsia="Times New Roman" w:hAnsi="Tahoma" w:cs="Tahoma"/>
          <w:lang w:eastAsia="en-US"/>
        </w:rPr>
        <w:t xml:space="preserve">Максимальные габаритные размеры трехфазного малогабаритного ПУ ЭЭ прямого включения с универсальным креплением на 3 точки и на </w:t>
      </w:r>
      <w:r>
        <w:rPr>
          <w:rFonts w:ascii="Tahoma" w:eastAsia="Times New Roman" w:hAnsi="Tahoma" w:cs="Tahoma"/>
          <w:lang w:val="en-US" w:eastAsia="en-US"/>
        </w:rPr>
        <w:t>DIN</w:t>
      </w:r>
      <w:r>
        <w:rPr>
          <w:rFonts w:ascii="Tahoma" w:eastAsia="Times New Roman" w:hAnsi="Tahoma" w:cs="Tahoma"/>
          <w:lang w:eastAsia="en-US"/>
        </w:rPr>
        <w:t>-рейку:</w:t>
      </w:r>
    </w:p>
    <w:p w14:paraId="14DD0ACE" w14:textId="2EC5E7F5" w:rsidR="00C76DD3" w:rsidRDefault="00C76DD3" w:rsidP="00C76DD3">
      <w:pPr>
        <w:widowControl/>
        <w:autoSpaceDE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>- По высоте не более 160 мм;</w:t>
      </w:r>
    </w:p>
    <w:p w14:paraId="7EF42E04" w14:textId="07DBABE0" w:rsidR="00C76DD3" w:rsidRDefault="00C76DD3" w:rsidP="00C76DD3">
      <w:pPr>
        <w:widowControl/>
        <w:autoSpaceDE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>- По ширине не более 150 мм;</w:t>
      </w:r>
    </w:p>
    <w:p w14:paraId="78963D98" w14:textId="1F06FCEF" w:rsidR="00C76DD3" w:rsidRDefault="00C76DD3" w:rsidP="00C76DD3">
      <w:pPr>
        <w:widowControl/>
        <w:autoSpaceDE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>- По глубине не более 72 мм.</w:t>
      </w:r>
    </w:p>
    <w:p w14:paraId="36C5F105" w14:textId="476A6677" w:rsidR="00C76DD3" w:rsidRDefault="00C76DD3" w:rsidP="00C76DD3">
      <w:pPr>
        <w:pStyle w:val="a6"/>
        <w:widowControl/>
        <w:numPr>
          <w:ilvl w:val="0"/>
          <w:numId w:val="30"/>
        </w:numPr>
        <w:autoSpaceDE/>
        <w:adjustRightInd/>
        <w:spacing w:after="160" w:line="256" w:lineRule="auto"/>
        <w:ind w:left="709"/>
        <w:jc w:val="both"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 xml:space="preserve">Максимальные габаритные размеры трехфазного малогабаритного ПУ ЭЭ полукосвенного включения с универсальным креплением на 3 точки и на </w:t>
      </w:r>
      <w:r>
        <w:rPr>
          <w:rFonts w:ascii="Tahoma" w:eastAsia="Times New Roman" w:hAnsi="Tahoma" w:cs="Tahoma"/>
          <w:lang w:val="en-US" w:eastAsia="en-US"/>
        </w:rPr>
        <w:t>DIN</w:t>
      </w:r>
      <w:r>
        <w:rPr>
          <w:rFonts w:ascii="Tahoma" w:eastAsia="Times New Roman" w:hAnsi="Tahoma" w:cs="Tahoma"/>
          <w:lang w:eastAsia="en-US"/>
        </w:rPr>
        <w:t>-рейку:</w:t>
      </w:r>
    </w:p>
    <w:p w14:paraId="62BC2FF2" w14:textId="118FF7DC" w:rsidR="00C76DD3" w:rsidRDefault="00C76DD3" w:rsidP="00C76DD3">
      <w:pPr>
        <w:widowControl/>
        <w:autoSpaceDE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>- По высоте не более 160 мм;</w:t>
      </w:r>
    </w:p>
    <w:p w14:paraId="68883CAA" w14:textId="1F3F7FCE" w:rsidR="00C76DD3" w:rsidRDefault="00C76DD3" w:rsidP="00C76DD3">
      <w:pPr>
        <w:widowControl/>
        <w:autoSpaceDE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>- По ширине не более 150 мм;</w:t>
      </w:r>
    </w:p>
    <w:p w14:paraId="4D8C3939" w14:textId="4D29B2DD" w:rsidR="00C76DD3" w:rsidRDefault="00C76DD3" w:rsidP="00C76DD3">
      <w:pPr>
        <w:widowControl/>
        <w:autoSpaceDE/>
        <w:adjustRightInd/>
        <w:spacing w:after="200" w:line="276" w:lineRule="auto"/>
        <w:ind w:left="567" w:hanging="283"/>
        <w:contextualSpacing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>- По глубине не более 72 мм.</w:t>
      </w:r>
    </w:p>
    <w:p w14:paraId="177C1607" w14:textId="77777777" w:rsidR="00C76DD3" w:rsidRDefault="00C76DD3" w:rsidP="00C76DD3">
      <w:pPr>
        <w:widowControl/>
        <w:autoSpaceDE/>
        <w:adjustRightInd/>
        <w:spacing w:after="160" w:line="256" w:lineRule="auto"/>
        <w:ind w:left="283"/>
        <w:contextualSpacing/>
        <w:rPr>
          <w:rFonts w:ascii="Tahoma" w:hAnsi="Tahoma" w:cs="Tahoma"/>
          <w:lang w:eastAsia="en-US"/>
        </w:rPr>
      </w:pPr>
    </w:p>
    <w:p w14:paraId="0E65C79D" w14:textId="77777777" w:rsidR="00C76DD3" w:rsidRDefault="00C76DD3" w:rsidP="00C76DD3">
      <w:pPr>
        <w:widowControl/>
        <w:autoSpaceDE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>
        <w:rPr>
          <w:rFonts w:ascii="Tahoma" w:hAnsi="Tahoma" w:cs="Tahoma"/>
          <w:lang w:val="en-US" w:eastAsia="en-US"/>
        </w:rPr>
        <w:t>DIN</w:t>
      </w:r>
      <w:r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>
        <w:rPr>
          <w:rFonts w:ascii="Tahoma" w:hAnsi="Tahoma" w:cs="Tahoma"/>
          <w:lang w:val="en-US" w:eastAsia="en-US"/>
        </w:rPr>
        <w:t>DIN</w:t>
      </w:r>
      <w:r>
        <w:rPr>
          <w:rFonts w:ascii="Tahoma" w:hAnsi="Tahoma" w:cs="Tahoma"/>
          <w:lang w:eastAsia="en-US"/>
        </w:rPr>
        <w:t xml:space="preserve">-рейку или с </w:t>
      </w:r>
      <w:r>
        <w:rPr>
          <w:rFonts w:ascii="Tahoma" w:hAnsi="Tahoma" w:cs="Tahoma"/>
          <w:lang w:val="en-US" w:eastAsia="en-US"/>
        </w:rPr>
        <w:t>DIN</w:t>
      </w:r>
      <w:r>
        <w:rPr>
          <w:rFonts w:ascii="Tahoma" w:hAnsi="Tahoma" w:cs="Tahoma"/>
          <w:lang w:eastAsia="en-US"/>
        </w:rPr>
        <w:t>-рейки на 3 точки.</w:t>
      </w:r>
    </w:p>
    <w:p w14:paraId="71A786EF" w14:textId="77777777" w:rsidR="00C76DD3" w:rsidRDefault="00C76DD3" w:rsidP="00C76DD3">
      <w:pPr>
        <w:pStyle w:val="a6"/>
        <w:widowControl/>
        <w:numPr>
          <w:ilvl w:val="0"/>
          <w:numId w:val="28"/>
        </w:numPr>
        <w:autoSpaceDE/>
        <w:adjustRightInd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42F061CE" w14:textId="71E4600F" w:rsidR="00C76DD3" w:rsidRDefault="00C76DD3" w:rsidP="00C76DD3">
      <w:pPr>
        <w:widowControl/>
        <w:autoSpaceDE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</w:t>
      </w:r>
      <w:r w:rsidR="00C360D0">
        <w:rPr>
          <w:rFonts w:ascii="Tahoma" w:hAnsi="Tahoma" w:cs="Tahoma"/>
        </w:rPr>
        <w:t>не менее 16 лет для трехфазного малогабаритного ПУ ЭЭ прямого включения и не менее 10 лет для трехфазного малогабаритного ПУ ЭЭ полукосвенного включения</w:t>
      </w:r>
      <w:r>
        <w:rPr>
          <w:rFonts w:ascii="Tahoma" w:hAnsi="Tahoma" w:cs="Tahoma"/>
          <w:lang w:eastAsia="en-US"/>
        </w:rPr>
        <w:t xml:space="preserve">. </w:t>
      </w:r>
      <w:r>
        <w:rPr>
          <w:rFonts w:ascii="Tahoma" w:hAnsi="Tahoma" w:cs="Tahoma"/>
        </w:rPr>
        <w:t>Срок службы оборудования должен быть не менее 30 лет.</w:t>
      </w:r>
    </w:p>
    <w:p w14:paraId="1AE4F3BB" w14:textId="77777777" w:rsidR="00C76DD3" w:rsidRDefault="00C76DD3" w:rsidP="00C76DD3">
      <w:pPr>
        <w:pStyle w:val="a6"/>
        <w:widowControl/>
        <w:numPr>
          <w:ilvl w:val="0"/>
          <w:numId w:val="28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5C6702E1" w14:textId="77777777" w:rsidR="00C76DD3" w:rsidRDefault="00C76DD3" w:rsidP="00C76DD3">
      <w:pPr>
        <w:widowControl/>
        <w:numPr>
          <w:ilvl w:val="0"/>
          <w:numId w:val="31"/>
        </w:numPr>
        <w:autoSpaceDE/>
        <w:adjustRightInd/>
        <w:spacing w:after="160" w:line="256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76E6698C" w14:textId="77777777" w:rsidR="00C76DD3" w:rsidRDefault="00C76DD3" w:rsidP="00C76DD3">
      <w:pPr>
        <w:widowControl/>
        <w:numPr>
          <w:ilvl w:val="0"/>
          <w:numId w:val="31"/>
        </w:numPr>
        <w:autoSpaceDE/>
        <w:adjustRightInd/>
        <w:spacing w:after="160" w:line="256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006C0AB6" w14:textId="77777777" w:rsidR="00C76DD3" w:rsidRDefault="00C76DD3" w:rsidP="00C76DD3">
      <w:pPr>
        <w:widowControl/>
        <w:numPr>
          <w:ilvl w:val="0"/>
          <w:numId w:val="31"/>
        </w:numPr>
        <w:autoSpaceDE/>
        <w:adjustRightInd/>
        <w:spacing w:after="160" w:line="256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4BE39C7E" w14:textId="77777777" w:rsidR="00C76DD3" w:rsidRDefault="00C76DD3" w:rsidP="00C76DD3">
      <w:pPr>
        <w:widowControl/>
        <w:numPr>
          <w:ilvl w:val="0"/>
          <w:numId w:val="31"/>
        </w:numPr>
        <w:autoSpaceDE/>
        <w:adjustRightInd/>
        <w:spacing w:after="160" w:line="256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75F76656" w14:textId="77777777" w:rsidR="00C76DD3" w:rsidRDefault="00C76DD3" w:rsidP="00C76DD3">
      <w:pPr>
        <w:widowControl/>
        <w:autoSpaceDE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2F1DF15F" w14:textId="77777777" w:rsidR="00C76DD3" w:rsidRDefault="00C76DD3" w:rsidP="00C76DD3">
      <w:pPr>
        <w:widowControl/>
        <w:autoSpaceDE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2AC1945E" w14:textId="77777777" w:rsidR="00C76DD3" w:rsidRDefault="00C76DD3" w:rsidP="00C76DD3">
      <w:pPr>
        <w:widowControl/>
        <w:autoSpaceDE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14:paraId="5F659F3B" w14:textId="77777777" w:rsidR="00C76DD3" w:rsidRDefault="00C76DD3" w:rsidP="00C76DD3">
      <w:pPr>
        <w:widowControl/>
        <w:autoSpaceDE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lastRenderedPageBreak/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589A8667" w14:textId="77777777" w:rsidR="00C76DD3" w:rsidRDefault="00C76DD3" w:rsidP="00C76DD3">
      <w:pPr>
        <w:widowControl/>
        <w:autoSpaceDE/>
        <w:adjustRightInd/>
        <w:spacing w:after="200" w:line="276" w:lineRule="auto"/>
        <w:ind w:left="1416" w:hanging="425"/>
        <w:contextualSpacing/>
        <w:rPr>
          <w:rFonts w:ascii="Tahoma" w:hAnsi="Tahoma" w:cs="Tahoma"/>
          <w:b/>
          <w:lang w:eastAsia="en-US"/>
        </w:rPr>
      </w:pPr>
      <w:r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средств».».</w:t>
      </w:r>
    </w:p>
    <w:p w14:paraId="3B2313CE" w14:textId="77777777" w:rsidR="00C76DD3" w:rsidRDefault="00C76DD3" w:rsidP="00C76DD3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77DE0209" w14:textId="77777777" w:rsidR="00C76DD3" w:rsidRDefault="00C76DD3" w:rsidP="00C76DD3">
      <w:pPr>
        <w:pStyle w:val="a6"/>
        <w:widowControl/>
        <w:numPr>
          <w:ilvl w:val="0"/>
          <w:numId w:val="28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Метрологические требования к оборудованию</w:t>
      </w:r>
    </w:p>
    <w:p w14:paraId="1B00FD25" w14:textId="77777777" w:rsidR="00C76DD3" w:rsidRDefault="00C76DD3" w:rsidP="00C76DD3">
      <w:pPr>
        <w:widowControl/>
        <w:autoSpaceDE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0FFC413F" w14:textId="77777777" w:rsidR="00C76DD3" w:rsidRDefault="00C76DD3" w:rsidP="00C76DD3">
      <w:pPr>
        <w:widowControl/>
        <w:autoSpaceDE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5B5FC854" w14:textId="77777777" w:rsidR="00C76DD3" w:rsidRDefault="00C76DD3" w:rsidP="00C76DD3">
      <w:pPr>
        <w:widowControl/>
        <w:autoSpaceDE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0495326F" w14:textId="77777777" w:rsidR="00C76DD3" w:rsidRDefault="00C76DD3" w:rsidP="00C76DD3">
      <w:pPr>
        <w:widowControl/>
        <w:autoSpaceDE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руководства по эксплуатации.</w:t>
      </w:r>
    </w:p>
    <w:p w14:paraId="6ABC7FB9" w14:textId="77777777" w:rsidR="00C76DD3" w:rsidRDefault="00C76DD3" w:rsidP="00C76DD3">
      <w:pPr>
        <w:widowControl/>
        <w:autoSpaceDE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3ADBD3F1" w14:textId="77777777" w:rsidR="00C76DD3" w:rsidRDefault="00C76DD3" w:rsidP="00C76DD3">
      <w:pPr>
        <w:pStyle w:val="a6"/>
        <w:widowControl/>
        <w:numPr>
          <w:ilvl w:val="0"/>
          <w:numId w:val="28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1E5E9267" w14:textId="77777777" w:rsidR="00C76DD3" w:rsidRDefault="00C76DD3" w:rsidP="00C76DD3">
      <w:pPr>
        <w:widowControl/>
        <w:autoSpaceDE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2D2348B2" w14:textId="77777777" w:rsidR="00C76DD3" w:rsidRDefault="00C76DD3" w:rsidP="00C76DD3">
      <w:pPr>
        <w:widowControl/>
        <w:autoSpaceDE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3DA88EE2" w14:textId="77777777" w:rsidR="00C76DD3" w:rsidRDefault="00C76DD3" w:rsidP="00C76DD3">
      <w:pPr>
        <w:widowControl/>
        <w:autoSpaceDE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067E531D" w14:textId="77777777" w:rsidR="00C76DD3" w:rsidRDefault="00C76DD3" w:rsidP="00C76DD3">
      <w:pPr>
        <w:pStyle w:val="a6"/>
        <w:widowControl/>
        <w:numPr>
          <w:ilvl w:val="0"/>
          <w:numId w:val="28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37473F4D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4354368D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10BDA74D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56C7F3E9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4FE521A9" w14:textId="4542A3F1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690A07" w:rsidRPr="005F4B9D">
        <w:rPr>
          <w:rFonts w:ascii="Tahoma" w:hAnsi="Tahoma" w:cs="Tahoma"/>
        </w:rPr>
        <w:t>и надлежаще оформленное заключение</w:t>
      </w:r>
      <w:r w:rsidR="00690A07" w:rsidRPr="00E3198F">
        <w:rPr>
          <w:rFonts w:ascii="Tahoma" w:hAnsi="Tahoma" w:cs="Tahoma"/>
          <w:lang w:eastAsia="en-US"/>
        </w:rPr>
        <w:t>.</w:t>
      </w:r>
    </w:p>
    <w:p w14:paraId="24493F71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28B88F42" w14:textId="4B5CAA39" w:rsidR="00690A07" w:rsidRDefault="00690A07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</w:rPr>
      </w:pPr>
      <w:r w:rsidRPr="005F4B9D">
        <w:rPr>
          <w:rFonts w:ascii="Tahoma" w:hAnsi="Tahoma" w:cs="Tahoma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</w:t>
      </w:r>
      <w:r>
        <w:rPr>
          <w:rFonts w:ascii="Tahoma" w:hAnsi="Tahoma" w:cs="Tahoma"/>
        </w:rPr>
        <w:t>.</w:t>
      </w:r>
    </w:p>
    <w:p w14:paraId="6E10110A" w14:textId="576DC201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Поставщик по требованию Покупателя обязан возместить Покупателю затраты на устранение дефектов/замену оборудования.</w:t>
      </w:r>
    </w:p>
    <w:p w14:paraId="796A9827" w14:textId="77777777" w:rsidR="00C76DD3" w:rsidRDefault="00C76DD3" w:rsidP="00C76DD3">
      <w:pPr>
        <w:pStyle w:val="a6"/>
        <w:widowControl/>
        <w:numPr>
          <w:ilvl w:val="0"/>
          <w:numId w:val="28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095C0330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</w:t>
      </w:r>
      <w:r>
        <w:rPr>
          <w:rFonts w:ascii="Tahoma" w:hAnsi="Tahoma" w:cs="Tahoma"/>
          <w:lang w:eastAsia="en-US"/>
        </w:rPr>
        <w:lastRenderedPageBreak/>
        <w:t>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29F2F506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2.0».</w:t>
      </w:r>
    </w:p>
    <w:p w14:paraId="68AE9D93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0DE00BAA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данных. Срок выполнения работ по обеспечению корректного функционирования операционной системы и программного обеспечения не должен превышать 45 рабочих дней, результатом исполнения Поставщиком данного обязательства является предоставление экземпляров ПО, сертификатов совместимости или протоколов совместных испытаний.</w:t>
      </w:r>
    </w:p>
    <w:p w14:paraId="672C2484" w14:textId="77777777" w:rsidR="00C76DD3" w:rsidRDefault="00C76DD3" w:rsidP="00C76DD3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 данного обязательства является предоставление в адрес Покупателя соответствующей реестровой записи.</w:t>
      </w:r>
    </w:p>
    <w:p w14:paraId="2381B8CB" w14:textId="77777777" w:rsidR="00C76DD3" w:rsidRDefault="00C76DD3" w:rsidP="00C76DD3">
      <w:pPr>
        <w:widowControl/>
        <w:autoSpaceDE/>
        <w:adjustRightInd/>
        <w:spacing w:after="160" w:line="256" w:lineRule="auto"/>
        <w:contextualSpacing/>
        <w:jc w:val="both"/>
        <w:rPr>
          <w:rFonts w:ascii="Tahoma" w:hAnsi="Tahoma" w:cs="Tahoma"/>
          <w:lang w:eastAsia="en-US"/>
        </w:rPr>
      </w:pPr>
    </w:p>
    <w:p w14:paraId="429AF93F" w14:textId="77777777" w:rsidR="00C76DD3" w:rsidRDefault="00C76DD3" w:rsidP="00C76DD3">
      <w:pPr>
        <w:pStyle w:val="a6"/>
        <w:widowControl/>
        <w:numPr>
          <w:ilvl w:val="0"/>
          <w:numId w:val="28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Приложения</w:t>
      </w:r>
    </w:p>
    <w:p w14:paraId="4E58B3E3" w14:textId="77777777" w:rsidR="00C76DD3" w:rsidRDefault="00C76DD3" w:rsidP="00C76DD3">
      <w:pPr>
        <w:pStyle w:val="a6"/>
        <w:numPr>
          <w:ilvl w:val="0"/>
          <w:numId w:val="32"/>
        </w:numPr>
      </w:pPr>
      <w:r>
        <w:rPr>
          <w:rFonts w:ascii="Tahoma" w:hAnsi="Tahoma" w:cs="Tahoma"/>
        </w:rPr>
        <w:t>Требования к интеллектуальным приборам учета электрической энергии.</w:t>
      </w:r>
    </w:p>
    <w:p w14:paraId="3BF9E8AD" w14:textId="77777777" w:rsidR="00C76DD3" w:rsidRDefault="00C76DD3" w:rsidP="00C76DD3"/>
    <w:p w14:paraId="7D600D2F" w14:textId="77777777" w:rsidR="00C76DD3" w:rsidRDefault="00C76DD3" w:rsidP="00C76DD3"/>
    <w:p w14:paraId="68E6CA32" w14:textId="77777777" w:rsidR="00C76DD3" w:rsidRDefault="00C76DD3" w:rsidP="00C76DD3"/>
    <w:p w14:paraId="78E7BF65" w14:textId="77777777" w:rsidR="00C76DD3" w:rsidRDefault="00C76DD3" w:rsidP="00C76DD3"/>
    <w:p w14:paraId="6DA680B9" w14:textId="77777777" w:rsidR="00C76DD3" w:rsidRDefault="00C76DD3" w:rsidP="00C76DD3"/>
    <w:p w14:paraId="27A51CF0" w14:textId="3EA6664D" w:rsidR="00C76DD3" w:rsidRDefault="00C76DD3" w:rsidP="00C76DD3"/>
    <w:p w14:paraId="10AF68D3" w14:textId="345519C1" w:rsidR="009C0C6B" w:rsidRDefault="009C0C6B" w:rsidP="00C76DD3"/>
    <w:p w14:paraId="3FC9D64F" w14:textId="3D2F5C55" w:rsidR="009C0C6B" w:rsidRDefault="009C0C6B" w:rsidP="00C76DD3"/>
    <w:p w14:paraId="5CF5F53B" w14:textId="62CDB5CB" w:rsidR="009C0C6B" w:rsidRDefault="009C0C6B" w:rsidP="00C76DD3"/>
    <w:p w14:paraId="08C41307" w14:textId="651AA4B2" w:rsidR="009C0C6B" w:rsidRDefault="009C0C6B" w:rsidP="00C76DD3"/>
    <w:p w14:paraId="4A2D207F" w14:textId="40448E30" w:rsidR="009C0C6B" w:rsidRDefault="009C0C6B" w:rsidP="00C76DD3"/>
    <w:p w14:paraId="210FB06A" w14:textId="71EF9857" w:rsidR="009C0C6B" w:rsidRDefault="009C0C6B" w:rsidP="00C76DD3"/>
    <w:p w14:paraId="0FB4268A" w14:textId="0D372306" w:rsidR="009C0C6B" w:rsidRDefault="009C0C6B" w:rsidP="00C76DD3"/>
    <w:p w14:paraId="17475B13" w14:textId="277D9CBB" w:rsidR="009C0C6B" w:rsidRDefault="009C0C6B" w:rsidP="00C76DD3"/>
    <w:p w14:paraId="18F26796" w14:textId="267C9B11" w:rsidR="009C0C6B" w:rsidRDefault="009C0C6B" w:rsidP="00C76DD3"/>
    <w:p w14:paraId="1555B026" w14:textId="13535489" w:rsidR="009C0C6B" w:rsidRDefault="009C0C6B" w:rsidP="00C76DD3"/>
    <w:p w14:paraId="7EDEBE1E" w14:textId="77777777" w:rsidR="009C0C6B" w:rsidRDefault="009C0C6B" w:rsidP="00C76DD3">
      <w:bookmarkStart w:id="0" w:name="_GoBack"/>
      <w:bookmarkEnd w:id="0"/>
    </w:p>
    <w:p w14:paraId="0453F40A" w14:textId="77777777" w:rsidR="00C76DD3" w:rsidRDefault="00C76DD3" w:rsidP="00C76DD3"/>
    <w:p w14:paraId="23C5D6BC" w14:textId="77777777" w:rsidR="00C76DD3" w:rsidRDefault="00C76DD3" w:rsidP="00C76DD3"/>
    <w:p w14:paraId="77CBBF7D" w14:textId="77777777" w:rsidR="00C76DD3" w:rsidRDefault="00C76DD3" w:rsidP="00C76DD3"/>
    <w:p w14:paraId="66AD5D0A" w14:textId="77777777" w:rsidR="00C76DD3" w:rsidRDefault="00C76DD3" w:rsidP="00C76DD3">
      <w:pPr>
        <w:widowControl/>
        <w:autoSpaceDE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23D74218" w14:textId="77777777" w:rsidR="00C76DD3" w:rsidRDefault="00C76DD3" w:rsidP="00C76DD3">
      <w:pPr>
        <w:widowControl/>
        <w:autoSpaceDE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140F570E" w14:textId="77777777" w:rsidR="00C76DD3" w:rsidRDefault="00C76DD3" w:rsidP="00C76DD3">
      <w:pPr>
        <w:widowControl/>
        <w:shd w:val="clear" w:color="auto" w:fill="FFFFFF"/>
        <w:autoSpaceDE/>
        <w:adjustRightInd/>
        <w:jc w:val="center"/>
        <w:rPr>
          <w:rFonts w:ascii="Tahoma" w:hAnsi="Tahoma" w:cs="Tahoma"/>
          <w:b/>
          <w:lang w:eastAsia="en-US"/>
        </w:rPr>
      </w:pPr>
    </w:p>
    <w:p w14:paraId="2B8B80BD" w14:textId="77777777" w:rsidR="00C76DD3" w:rsidRDefault="00C76DD3" w:rsidP="00C76DD3">
      <w:pPr>
        <w:widowControl/>
        <w:shd w:val="clear" w:color="auto" w:fill="FFFFFF"/>
        <w:autoSpaceDE/>
        <w:adjustRightInd/>
        <w:jc w:val="center"/>
        <w:rPr>
          <w:rFonts w:ascii="Tahoma" w:hAnsi="Tahoma" w:cs="Tahoma"/>
          <w:b/>
          <w:lang w:eastAsia="en-US"/>
        </w:rPr>
      </w:pPr>
      <w:r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p w14:paraId="21D6A588" w14:textId="77777777" w:rsidR="00C76DD3" w:rsidRDefault="00C76DD3" w:rsidP="00C76DD3"/>
    <w:tbl>
      <w:tblPr>
        <w:tblW w:w="5000" w:type="pct"/>
        <w:tblLook w:val="04A0" w:firstRow="1" w:lastRow="0" w:firstColumn="1" w:lastColumn="0" w:noHBand="0" w:noVBand="1"/>
      </w:tblPr>
      <w:tblGrid>
        <w:gridCol w:w="725"/>
        <w:gridCol w:w="8625"/>
        <w:gridCol w:w="2549"/>
        <w:gridCol w:w="2549"/>
      </w:tblGrid>
      <w:tr w:rsidR="00C76DD3" w14:paraId="49A15935" w14:textId="77777777" w:rsidTr="00C76DD3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992833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A8058C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E9773E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 xml:space="preserve">Счетчик электроэнергии трехфазный прямого включения 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9065E3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Счетчик электроэнергии трехфазный трансформаторного включения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br/>
              <w:t>(для всех исполнений)</w:t>
            </w:r>
          </w:p>
        </w:tc>
      </w:tr>
      <w:tr w:rsidR="00C76DD3" w14:paraId="31C635D7" w14:textId="77777777" w:rsidTr="00C76DD3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E81261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16020E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  <w:t>Перечень функций приборов учета в соответствии с требованиями: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59C5B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0346F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03742FAD" w14:textId="77777777" w:rsidTr="00C76DD3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0C574B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D9816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D40548B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F81616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0,5S и выше по активной энергии и 1,0 и выше по реактивной энергии</w:t>
            </w:r>
          </w:p>
        </w:tc>
      </w:tr>
      <w:tr w:rsidR="00C76DD3" w14:paraId="7FB5AFC7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559FB2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C2AB5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F40B1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2,0  и выше  по реактивной энергии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417F1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</w:pPr>
          </w:p>
        </w:tc>
      </w:tr>
      <w:tr w:rsidR="00C76DD3" w14:paraId="52945189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25735B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752E2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38670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094476" w14:textId="30909B2E" w:rsidR="00C76DD3" w:rsidRDefault="00C360D0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10</w:t>
            </w:r>
            <w:r w:rsidR="00C76DD3"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 xml:space="preserve"> лет</w:t>
            </w:r>
          </w:p>
        </w:tc>
      </w:tr>
      <w:tr w:rsidR="00C76DD3" w14:paraId="043FBC91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8D97A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8BD598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8DEB81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90920C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714AA7C8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31B0DD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5ACBE0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4C360D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C27D38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6CFC05A2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1386B6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3D30E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6478E1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E43CE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0D487EB5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7102DA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7275B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DB6CF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AFA7E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47BE58F8" w14:textId="77777777" w:rsidTr="00C76DD3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318B72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BF55E7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4F4F51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2AC72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736880C4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680DD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E7D296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фазного напряжения в каждой фазе;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6AA7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69FA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BA3E35B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20E60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245F27" w14:textId="77777777" w:rsidR="00C76DD3" w:rsidRDefault="00C76DD3">
            <w:pP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6303C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4D45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3E3E6C3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55DF4A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6413CA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фазного тока в каждой фазе;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81A9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01674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5450C252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1883C2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8376CE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181B2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960BA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7BBCA17E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3B9C4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E73D7D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2EBB40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2741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580883BB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8C6ABE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E7BA30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EA1F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9965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9178B63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B282C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F46E9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частоты электрической сети;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02AD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85DE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F29AF6C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4B2357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lastRenderedPageBreak/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79A4B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szCs w:val="22"/>
                <w:lang w:eastAsia="en-US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71958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642699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5E9B4A86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3B9508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D122BC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E3D12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9ACE9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2C467D02" w14:textId="77777777" w:rsidTr="00C76DD3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86D565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B52794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C5932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B69387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713368B2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367CD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5FDFAD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текущих даты и времени;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4EA0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63FED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53B6E7FB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446D8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2A8712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C8BC4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AA9F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5931D448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EE691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4185B3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2D34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148C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6A34961C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A9ADC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7C0959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F90A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DDB5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7BDC71E6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6F938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7B7657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индикатора режима приема и отдачи электрической энергии;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7A86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4EF4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5EEEC503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0A6F2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257FD78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3C28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6B92E2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32013448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08E6E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58FB59D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7259E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B1995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24044D4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3F8F1C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622705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FE2C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2BBEB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6B5989A4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9D447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588610" w14:textId="77777777" w:rsidR="00C76DD3" w:rsidRP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szCs w:val="22"/>
                <w:lang w:eastAsia="en-US"/>
              </w:rPr>
            </w:pPr>
            <w:r w:rsidRPr="00C76DD3">
              <w:rPr>
                <w:rFonts w:ascii="Tahoma" w:eastAsia="Times New Roman" w:hAnsi="Tahoma" w:cs="Tahoma"/>
                <w:bCs/>
                <w:szCs w:val="22"/>
                <w:lang w:eastAsia="en-US"/>
              </w:rPr>
              <w:t>-</w:t>
            </w:r>
            <w:r w:rsidRPr="00C76DD3">
              <w:rPr>
                <w:rFonts w:ascii="Tahoma" w:eastAsia="Times New Roman" w:hAnsi="Tahoma" w:cs="Tahoma"/>
                <w:szCs w:val="22"/>
                <w:lang w:eastAsia="en-US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BDED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3FCAF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2A8A16BD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024FB6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B8F221" w14:textId="77777777" w:rsidR="00C76DD3" w:rsidRPr="00C76DD3" w:rsidRDefault="00256B1A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szCs w:val="22"/>
                <w:lang w:eastAsia="en-US"/>
              </w:rPr>
            </w:pPr>
            <w:hyperlink r:id="rId13" w:history="1">
              <w:r w:rsidR="00C76DD3" w:rsidRPr="00C76DD3">
                <w:rPr>
                  <w:rStyle w:val="af3"/>
                  <w:rFonts w:ascii="Tahoma" w:eastAsia="Times New Roman" w:hAnsi="Tahoma" w:cs="Tahoma"/>
                  <w:bCs/>
                  <w:color w:val="auto"/>
                  <w:szCs w:val="22"/>
                  <w:lang w:eastAsia="en-US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D9CE0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822C0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11689468" w14:textId="77777777" w:rsidTr="00C76DD3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71539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5E6E6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47F26D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2C1684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691C87EB" w14:textId="77777777" w:rsidTr="00C76DD3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21413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902E0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 xml:space="preserve">м) </w:t>
            </w:r>
            <w:r>
              <w:rPr>
                <w:rFonts w:ascii="Tahoma" w:eastAsia="Times New Roman" w:hAnsi="Tahoma" w:cs="Tahoma"/>
                <w:bCs/>
                <w:color w:val="000000"/>
                <w:lang w:eastAsia="en-US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1053D2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C7049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4D6CFA1D" w14:textId="77777777" w:rsidTr="00C76DD3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9735B1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F36951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C341A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077DAC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1E797CD7" w14:textId="77777777" w:rsidTr="00C76DD3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C4011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6A2E3D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идентификации и аутентификации;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CA90E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E888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66C652A1" w14:textId="77777777" w:rsidTr="00C76DD3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B701F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D46ED3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контроля доступа;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C70A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6B05B2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03F4B684" w14:textId="77777777" w:rsidTr="00C76DD3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5CE9F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879B44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контроля целостности;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C5BF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FF70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073BDFB8" w14:textId="77777777" w:rsidTr="00C76DD3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0A99E0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7BE21DB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Cs w:val="22"/>
                <w:lang w:eastAsia="en-U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  регистрации событий безопасности в журнале событий;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5B59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40BF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63C55A50" w14:textId="77777777" w:rsidTr="00C76DD3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2594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27E4EA" w14:textId="77777777" w:rsidR="00C76DD3" w:rsidRDefault="00C76DD3">
            <w:pP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5C2F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957564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321235E3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2698DD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lastRenderedPageBreak/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C31C0B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7AFF4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61B4E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63D34A83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A01EE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8F7B4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39221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69B862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652E2D3F" w14:textId="77777777" w:rsidTr="00C76DD3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DE654C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E0E90D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98CC3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9E40A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3A8C214F" w14:textId="77777777" w:rsidTr="00C76DD3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8AAD05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1C5834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0B65C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0975F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3E5E27CB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E6943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D0C485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вскрытия клеммной крышки;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FE12E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E8AC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20D18E30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295F2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333A4B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05020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E9F4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22FA896E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4889A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D67B34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14D0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362A1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FED2E8C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77143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4F0786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последнего перепрограммирования;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E08A74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C635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4505BF90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1F6E3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D477D7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дата, время, тип и параметры выполненной команды;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66BF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8BC1E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D07EB7D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92CA0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25D8321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7C43E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5061A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6FBF7D6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E1DE4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B19D2D1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попытка доступа с нарушением правил управления доступом;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9612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1357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30AA7094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5F80A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9D7F53D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80C2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85DF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3EEAFDEF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ADA40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7B48BC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 xml:space="preserve">- изменение направления перетока мощности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22F1C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624B5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74C68B46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1C8CE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56FE11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DC53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2BBA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708DE5C9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D9FBCE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9E05F2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6F55A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0F286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30A2C38C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B53F3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46E9BC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1B972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B436B0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3D41B563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34A1E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13334A4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753D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D7436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344F7DB9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D8712E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67ABFDD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F4612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FF0A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4B6CCEA4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96FA3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0B2D24" w14:textId="77777777" w:rsidR="00C76DD3" w:rsidRDefault="00C76DD3">
            <w:pP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F60E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602F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65099767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404EA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165E25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6867C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2231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4929973C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02270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A024DD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B30CA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91865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61CEA670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9BA9A5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C7F867" w14:textId="77777777" w:rsidR="00C76DD3" w:rsidRDefault="00C76DD3">
            <w:pPr>
              <w:widowControl/>
              <w:autoSpaceDE/>
              <w:adjustRightInd/>
              <w:spacing w:line="276" w:lineRule="auto"/>
              <w:ind w:firstLineChars="100" w:firstLine="200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превышение заданного предела мощности;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182F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A788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41E98047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D3F6E5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B391BA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A3A94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60779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3172D301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EAFD09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FA0290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0FBF2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0E3E25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1B0BF8FA" w14:textId="77777777" w:rsidTr="00C76DD3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15A4BB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25D6BD4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E9250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3FC8ED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нет</w:t>
            </w:r>
          </w:p>
        </w:tc>
      </w:tr>
      <w:tr w:rsidR="00C76DD3" w14:paraId="47DE7D61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5B503C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21D73B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запрос интеллектуальной системы учета;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4AA63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2CC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770723F3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7CC1F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629DE65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5B55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A8CC4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32E48596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FB1F14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7E44192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448D0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A5E6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6B122698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E5A230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8BC4FC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0BE34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DB5B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4C1FB37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5F76A0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6B710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9999D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46C35F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нет</w:t>
            </w:r>
          </w:p>
        </w:tc>
      </w:tr>
      <w:tr w:rsidR="00C76DD3" w14:paraId="7B06B1D7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CF3AFA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68C65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14D708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8A2DAB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1E3E661A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17233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E6FA59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F10C8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3AA70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3A17A705" w14:textId="77777777" w:rsidTr="00C76DD3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DFBDFF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lastRenderedPageBreak/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8D593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63E7F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485CA9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6CA5CFB4" w14:textId="77777777" w:rsidTr="00C76DD3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6F4CC0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E024BD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EE28F9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6A8C8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4DC17E75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1E1E6F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824D7D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корректировку текущей даты и (или) времени, часового пояса;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35AA0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8780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035030A4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1D2726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738BB5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изменение тарифного расписания;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C393B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06C214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69CB7C9F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66BFF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DF765F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CECD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77F4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40D4F84B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78BCD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8F0B50F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EC217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8A454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5A4DBD50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461D8D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DE88EED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программирование даты начала расчетного периода;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FF8B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0795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12AC4F0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648C4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65DD40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5C448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7C48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7D62B698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D1DBAB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E4F699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изменение паролей доступа к параметрам;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556B9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CDCE3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6FA41B19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03E605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39C30F2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изменение ключей шифрования;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E99AA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A023A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0B8306EC" w14:textId="77777777" w:rsidTr="00C76DD3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B0787C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0ADDD3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CCB01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4E005" w14:textId="77777777" w:rsidR="00C76DD3" w:rsidRDefault="00C76DD3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</w:p>
        </w:tc>
      </w:tr>
      <w:tr w:rsidR="00C76DD3" w14:paraId="1BD8B7FA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AD3CD0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2D06D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02CFC5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E9A12B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</w:tr>
      <w:tr w:rsidR="00C76DD3" w14:paraId="5696B2D4" w14:textId="77777777" w:rsidTr="00C76DD3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16C4FD" w14:textId="77777777" w:rsidR="00C76DD3" w:rsidRDefault="00C76DD3">
            <w:pPr>
              <w:widowControl/>
              <w:autoSpaceDE/>
              <w:adjustRightInd/>
              <w:spacing w:line="276" w:lineRule="auto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00F93" w14:textId="77777777" w:rsidR="00C76DD3" w:rsidRDefault="00C76DD3">
            <w:pPr>
              <w:widowControl/>
              <w:autoSpaceDE/>
              <w:adjustRightInd/>
              <w:spacing w:line="276" w:lineRule="auto"/>
              <w:jc w:val="both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>
              <w:rPr>
                <w:rFonts w:ascii="Tahoma" w:eastAsia="Times New Roman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2694C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E5BDB" w14:textId="77777777" w:rsidR="00C76DD3" w:rsidRDefault="00C76DD3">
            <w:pPr>
              <w:widowControl/>
              <w:autoSpaceDE/>
              <w:adjustRightInd/>
              <w:spacing w:line="276" w:lineRule="auto"/>
              <w:jc w:val="center"/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</w:pPr>
            <w:r>
              <w:rPr>
                <w:rFonts w:ascii="Tahoma" w:eastAsia="Arial Unicode MS" w:hAnsi="Tahoma" w:cs="Tahoma"/>
                <w:color w:val="000000"/>
                <w:szCs w:val="22"/>
                <w:lang w:eastAsia="en-US"/>
              </w:rPr>
              <w:t>нет</w:t>
            </w:r>
          </w:p>
        </w:tc>
      </w:tr>
    </w:tbl>
    <w:p w14:paraId="514A9859" w14:textId="77777777" w:rsidR="00DB39BF" w:rsidRPr="00C76DD3" w:rsidRDefault="00DB39BF" w:rsidP="00C76DD3"/>
    <w:sectPr w:rsidR="00DB39BF" w:rsidRPr="00C76DD3" w:rsidSect="00DB39B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11D94" w14:textId="77777777" w:rsidR="00256B1A" w:rsidRDefault="00256B1A" w:rsidP="00EA2B83">
      <w:r>
        <w:separator/>
      </w:r>
    </w:p>
  </w:endnote>
  <w:endnote w:type="continuationSeparator" w:id="0">
    <w:p w14:paraId="2CC95D04" w14:textId="77777777" w:rsidR="00256B1A" w:rsidRDefault="00256B1A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56FA3" w14:textId="77777777" w:rsidR="00256B1A" w:rsidRDefault="00256B1A" w:rsidP="00EA2B83">
      <w:r>
        <w:separator/>
      </w:r>
    </w:p>
  </w:footnote>
  <w:footnote w:type="continuationSeparator" w:id="0">
    <w:p w14:paraId="41988FF9" w14:textId="77777777" w:rsidR="00256B1A" w:rsidRDefault="00256B1A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A71ECA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D2F32"/>
    <w:multiLevelType w:val="hybridMultilevel"/>
    <w:tmpl w:val="C076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19"/>
  </w:num>
  <w:num w:numId="3">
    <w:abstractNumId w:val="26"/>
  </w:num>
  <w:num w:numId="4">
    <w:abstractNumId w:val="23"/>
  </w:num>
  <w:num w:numId="5">
    <w:abstractNumId w:val="0"/>
  </w:num>
  <w:num w:numId="6">
    <w:abstractNumId w:val="14"/>
  </w:num>
  <w:num w:numId="7">
    <w:abstractNumId w:val="22"/>
  </w:num>
  <w:num w:numId="8">
    <w:abstractNumId w:val="11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5"/>
  </w:num>
  <w:num w:numId="18">
    <w:abstractNumId w:val="13"/>
  </w:num>
  <w:num w:numId="19">
    <w:abstractNumId w:val="15"/>
  </w:num>
  <w:num w:numId="20">
    <w:abstractNumId w:val="20"/>
  </w:num>
  <w:num w:numId="21">
    <w:abstractNumId w:val="18"/>
  </w:num>
  <w:num w:numId="22">
    <w:abstractNumId w:val="16"/>
  </w:num>
  <w:num w:numId="23">
    <w:abstractNumId w:val="5"/>
  </w:num>
  <w:num w:numId="24">
    <w:abstractNumId w:val="4"/>
  </w:num>
  <w:num w:numId="25">
    <w:abstractNumId w:val="10"/>
  </w:num>
  <w:num w:numId="26">
    <w:abstractNumId w:val="2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00FB8"/>
    <w:rsid w:val="00222140"/>
    <w:rsid w:val="00226B80"/>
    <w:rsid w:val="002420BB"/>
    <w:rsid w:val="002426B7"/>
    <w:rsid w:val="00256B1A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A646F"/>
    <w:rsid w:val="004B60BE"/>
    <w:rsid w:val="004D26A2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0A07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0C6B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360D0"/>
    <w:rsid w:val="00C40709"/>
    <w:rsid w:val="00C51418"/>
    <w:rsid w:val="00C574C6"/>
    <w:rsid w:val="00C629D2"/>
    <w:rsid w:val="00C65663"/>
    <w:rsid w:val="00C76DD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C76DD3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6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FFFEB-0D92-46AF-97B4-21F97986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4461</Words>
  <Characters>25433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Березиков Дмитрий Александрович</cp:lastModifiedBy>
  <cp:revision>43</cp:revision>
  <cp:lastPrinted>2017-10-05T10:01:00Z</cp:lastPrinted>
  <dcterms:created xsi:type="dcterms:W3CDTF">2021-03-22T14:12:00Z</dcterms:created>
  <dcterms:modified xsi:type="dcterms:W3CDTF">2024-05-22T06:46:00Z</dcterms:modified>
</cp:coreProperties>
</file>